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240" w:lineRule="auto"/>
        <w:jc w:val="center"/>
        <w:rPr>
          <w:rFonts w:ascii="方正小标宋简体" w:eastAsia="方正小标宋简体" w:hAnsi="方正小标宋简体" w:cs="方正小标宋简体" w:hint="eastAsia"/>
          <w:sz w:val="48"/>
          <w:szCs w:val="48"/>
          <w:highlight w:val="none"/>
          <w:lang w:val="en-US" w:eastAsia="zh-CN"/>
        </w:rPr>
      </w:pPr>
      <w:r>
        <w:rPr>
          <w:rFonts w:ascii="方正小标宋简体" w:eastAsia="方正小标宋简体" w:hAnsi="方正小标宋简体" w:cs="方正小标宋简体" w:hint="eastAsia"/>
          <w:sz w:val="48"/>
          <w:szCs w:val="48"/>
          <w:highlight w:val="none"/>
          <w:lang w:val="en-US" w:eastAsia="zh-CN"/>
        </w:rPr>
        <w:t xml:space="preserve">天津城建大学</w:t>
      </w:r>
    </w:p>
    <w:p>
      <w:pPr>
        <w:divId w:val="0"/>
        <w:spacing w:line="240" w:lineRule="auto"/>
        <w:jc w:val="center"/>
        <w:rPr>
          <w:rFonts w:ascii="方正小标宋简体" w:eastAsia="方正小标宋简体" w:hAnsi="方正小标宋简体" w:cs="方正小标宋简体" w:hint="eastAsia"/>
          <w:w w:val="95"/>
          <w:sz w:val="48"/>
          <w:szCs w:val="48"/>
          <w:highlight w:val="none"/>
        </w:rPr>
      </w:pPr>
      <w:r>
        <w:rPr>
          <w:rFonts w:ascii="方正小标宋简体" w:eastAsia="方正小标宋简体" w:hAnsi="方正小标宋简体" w:cs="方正小标宋简体" w:hint="eastAsia"/>
          <w:sz w:val="48"/>
          <w:szCs w:val="48"/>
          <w:highlight w:val="none"/>
          <w:lang w:eastAsia="zh-CN"/>
        </w:rPr>
        <w:t xml:space="preserve">202</w:t>
      </w:r>
      <w:r>
        <w:rPr>
          <w:rFonts w:ascii="方正小标宋简体" w:eastAsia="方正小标宋简体" w:hAnsi="方正小标宋简体" w:cs="方正小标宋简体" w:hint="eastAsia"/>
          <w:sz w:val="48"/>
          <w:szCs w:val="48"/>
          <w:highlight w:val="none"/>
          <w:lang w:val="en-US" w:eastAsia="zh-CN"/>
        </w:rPr>
        <w:t xml:space="preserve">5</w:t>
      </w:r>
      <w:r>
        <w:rPr>
          <w:rFonts w:ascii="方正小标宋简体" w:eastAsia="方正小标宋简体" w:hAnsi="方正小标宋简体" w:cs="方正小标宋简体" w:hint="eastAsia"/>
          <w:sz w:val="48"/>
          <w:szCs w:val="48"/>
          <w:highlight w:val="none"/>
        </w:rPr>
        <w:t xml:space="preserve">年度</w:t>
      </w:r>
      <w:r>
        <w:rPr>
          <w:rFonts w:ascii="方正小标宋简体" w:eastAsia="方正小标宋简体" w:hAnsi="方正小标宋简体" w:cs="方正小标宋简体" w:hint="eastAsia"/>
          <w:sz w:val="48"/>
          <w:szCs w:val="48"/>
          <w:highlight w:val="none"/>
          <w:lang w:val="en-US" w:eastAsia="zh-CN"/>
        </w:rPr>
        <w:t xml:space="preserve">单位</w:t>
      </w:r>
      <w:r>
        <w:rPr>
          <w:rFonts w:ascii="方正小标宋简体" w:eastAsia="方正小标宋简体" w:hAnsi="方正小标宋简体" w:cs="方正小标宋简体" w:hint="eastAsia"/>
          <w:sz w:val="48"/>
          <w:szCs w:val="48"/>
          <w:highlight w:val="none"/>
        </w:rPr>
        <w:t xml:space="preserve">决算</w:t>
      </w: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600" w:lineRule="exact"/>
        <w:jc w:val="center"/>
        <w:rPr>
          <w:rFonts w:ascii="黑体" w:eastAsia="黑体" w:hint="eastAsia"/>
          <w:sz w:val="44"/>
          <w:szCs w:val="44"/>
          <w:highlight w:val="none"/>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TOC \o "1-3" \h \z \u</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第一部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概</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况</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_Toc544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一、主要职责</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_Toc31533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二、机构设置</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_Toc31383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第二部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_Toc23540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二、《收入决算表（按功能分类列示）》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_Toc8357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三、《收入决算表（按单位列示）》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_Toc12692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_Toc1008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五、《财政拨款收入支出决算总表》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_Toc22229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_Toc13290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七、《一般公共预算财政拨款基本支出决算表》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_Toc16463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八、《政府性基金预算财政拨款收入支出决算表》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_Toc360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九、《国有资本经营预算财政拨款收入支出决算表》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_Toc22450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_Toc25280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十一、《项目支出决算表》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_Toc18372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第三部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_Toc13918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_Toc16656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_Toc20266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_Toc17730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四、财政拨款收支决算总体情况说明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_Toc16631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五、一般公共预算财政拨款支出决算情况说明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_Toc13902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六、一般公共预算财政拨款基本支出决算情况说明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_Toc21908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七、政府性基金预算财政拨款收支决算情况说明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_Toc4044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八、国有资本经营预算财政拨款收支决算情况说明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_Toc5943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_Toc9262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十、机关运行经费支出情况说明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十一、政府采购支出情况说明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_Toc17600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十二、国有资产占有使用情况说明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_Toc20762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十三、预算绩效情况说明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_Toc12945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十四、教育、医疗卫生、社会保障和就业、住房保障、涉农补贴等民生支出情况说明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_Toc20809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第四部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名词解释</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_Toc26550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30</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仿宋" w:eastAsia="仿宋" w:hAnsi="仿宋" w:cs="仿宋" w:hint="eastAsia"/>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544"/>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31533"/>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天津城建大学</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建设国内一流、国际上有影响的高水平城建特色大学，培养基础扎实、知识面宽、实践能力强、综合素质高、具有创新精神和创业能力的复合型应用人才。学校立足天津、面向全国、放眼世界，服务城镇化和城市现代化，坚持“发展城市科学，培育建设人才”的办学宗旨，秉承“依托行业、强化特色、质量为本、追求卓越”的办学理念，是由天津市人民政府举办，天津市人民政府教育行政部门主管的非营利性事业单位。学校以习近平新时代中国特色社会主义思想为指导，坚持和加强党对学校工作的全面领导，全面贯彻党的教育方针,坚持社会主义办学方向，落实立德树人根本任务，把党的领导贯穿办学治校、教书育人全过程，培养德智体美劳全面发展的社会主义建设者和接班人</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31383"/>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天津城建大学</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年度单位决算编制范围的单位包括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单位本级（内设23个综合管理机构，18个教学机构，1个教辅机构）。</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24540"/>
      <w:r>
        <w:rPr>
          <w:rFonts w:ascii="方正小标宋简体" w:eastAsia="方正小标宋简体" w:hAnsi="方正小标宋简体" w:cs="方正小标宋简体" w:hint="eastAsia"/>
          <w:b w:val="0"/>
          <w:bCs w:val="0"/>
          <w:lang w:val="en-US" w:eastAsia="zh-CN"/>
        </w:rPr>
        <w:t xml:space="preserve">第二部分  2025年度单位决算表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354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天津城建大学</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435166581.58</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664000.00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714042072.06</w:t>
            </w: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169464689.65</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27067.16</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183467982.95</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33716000.00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18478000.00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27459366.63</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hAnsi="Times New Roman" w:cs="Times New Roman" w:hint="default"/>
                <w:i w:val="0"/>
                <w:iCs w:val="0"/>
                <w:color w:val="000000"/>
                <w:kern w:val="0.0"/>
                <w:sz w:val="20"/>
                <w:szCs w:val="20"/>
                <w:u w:val="none"/>
                <w:lang w:val="en-US" w:eastAsia="zh-CN"/>
              </w:rPr>
              <w:t xml:space="preserve">  </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925800.40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816222620.81</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767188939.62</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4689621.36</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122942671.28</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176665973.83</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122942671.28</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943854913.45</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943854913.45</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rPr>
          <w:rFonts w:hint="eastAsia"/>
          <w:lang w:val="en-US" w:eastAsia="zh-CN"/>
        </w:rPr>
        <w:sectPr>
          <w:footerReference w:type="default" r:id="rId5"/>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8357"/>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23"/>
        <w:gridCol w:w="2184"/>
        <w:gridCol w:w="1824"/>
        <w:gridCol w:w="1737"/>
        <w:gridCol w:w="1503"/>
        <w:gridCol w:w="1680"/>
        <w:gridCol w:w="1656"/>
        <w:gridCol w:w="1572"/>
        <w:gridCol w:w="1524"/>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51"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天津城建大学</w:t>
            </w:r>
          </w:p>
        </w:tc>
        <w:tc>
          <w:tcPr>
            <w:tcW w:w="1656"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72"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11"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8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3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03"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336"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7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1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8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816222620.81</w:t>
            </w:r>
          </w:p>
        </w:tc>
        <w:tc>
          <w:tcPr>
            <w:tcW w:w="173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435830581.58</w:t>
            </w: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352932672.60</w:t>
            </w: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169464689.65</w:t>
            </w:r>
          </w:p>
        </w:tc>
        <w:tc>
          <w:tcPr>
            <w:tcW w:w="157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27459366.63</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教育支出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763075753.25</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382683714.02</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352932672.60</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169464689.65</w:t>
            </w: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27459366.63</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普通教育</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763075753.25</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382683714.02</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352932672.60</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169464689.65</w:t>
            </w: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27459366.63</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2050205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高等教育</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763075753.25</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382683714.02</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352932672.60</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169464689.65</w:t>
            </w: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27459366.63</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科学技术支出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27067.16</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27067.16</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20602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基础研究</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27067.16</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27067.16</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2060203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自然科学基金</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22426.58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22426.58</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2060299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其他基础研究支出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4640.58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4640.58</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33716000.00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33716000.00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行政事业单位养老支出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33716000.00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33716000.00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机关事业单位基本养老保险缴费支出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22477000.00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22477000.00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机关事业单位职业年金缴费支出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11239000.00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11239000.00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18478000.00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18478000.00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18478000.00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18478000.00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14811000.00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14811000.00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其他行政事业单位医疗支出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3667000.00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3667000.00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债务付息支出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925800.40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925800.40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23203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地方政府一般债务付息支出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261800.40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261800.40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2320301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地方政府一般债券付息支出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261800.40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261800.40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23204</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地方政府专项债务付息支出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664000.00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664000.00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2320498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其他地方自行试点项目收益专项债券付息支出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664000.00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664000.00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2692"/>
      <w:r>
        <w:rPr>
          <w:rFonts w:ascii="黑体" w:eastAsia="黑体" w:hAnsi="黑体" w:hint="eastAsia"/>
          <w:b/>
          <w:bCs/>
          <w:sz w:val="30"/>
          <w:szCs w:val="30"/>
          <w:lang w:val="en-US" w:eastAsia="zh-CN"/>
        </w:rPr>
        <w:t xml:space="preserve">三、《收入决算表（按单位列示）》</w:t>
      </w:r>
      <w:bookmarkEnd w:id="6"/>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33"/>
        <w:gridCol w:w="1405"/>
        <w:gridCol w:w="1344"/>
        <w:gridCol w:w="1153"/>
        <w:gridCol w:w="1285"/>
        <w:gridCol w:w="1285"/>
        <w:gridCol w:w="1285"/>
        <w:gridCol w:w="1285"/>
        <w:gridCol w:w="1285"/>
        <w:gridCol w:w="1285"/>
        <w:gridCol w:w="1285"/>
        <w:gridCol w:w="1329"/>
        <w:gridCol w:w="132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jc w:val="center"/>
        </w:trPr>
        <w:tc>
          <w:tcPr>
            <w:tcW w:w="9775" w:type="dxa"/>
            <w:gridSpan w:val="8"/>
            <w:tcBorders>
              <w:top w:val="nil"/>
              <w:left w:val="nil"/>
              <w:bottom w:val="single" w:sz="4"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天津城建大学</w:t>
            </w: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658" w:type="dxa"/>
            <w:gridSpan w:val="2"/>
            <w:tcBorders>
              <w:top w:val="nil"/>
              <w:left w:val="nil"/>
              <w:bottom w:val="single" w:sz="4"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4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2806" w:type="dxa"/>
            <w:gridSpan w:val="10"/>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6288" w:type="dxa"/>
          <w:jc w:val="center"/>
          <w:tblLayout w:type="fixed"/>
          <w:tblCellMar>
            <w:top w:w="0" w:type="dxa"/>
            <w:left w:w="108" w:type="dxa"/>
            <w:bottom w:w="0" w:type="dxa"/>
            <w:right w:w="108" w:type="dxa"/>
          </w:tblCellMar>
          <w:tblLook w:val="0000"/>
        </w:tblPrEx>
        <w:trPr>
          <w:trHeight w:val="782"/>
          <w:jc w:val="center"/>
        </w:trPr>
        <w:tc>
          <w:tcPr>
            <w:tcW w:w="213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943854913.45</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816222620.81</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435166581.58</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664000.00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169464689.65</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183467982.95</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27459366.63</w:t>
            </w: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330210</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天津城建大学</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943854913.45</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816222620.81</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435166581.58</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664000.00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169464689.65</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183467982.95</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27459366.63</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16288" w:type="dxa"/>
            <w:gridSpan w:val="13"/>
            <w:tcBorders>
              <w:top w:val="single" w:sz="4"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240" w:lineRule="auto"/>
        <w:ind w:firstLine="0" w:firstLineChars="0"/>
        <w:rPr>
          <w:rFonts w:ascii="黑体" w:eastAsia="黑体" w:hAnsi="黑体" w:hint="eastAsia"/>
          <w:sz w:val="30"/>
          <w:szCs w:val="30"/>
          <w:lang w:val="en-US" w:eastAsia="zh-CN"/>
        </w:rPr>
      </w:pPr>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97"/>
        <w:gridCol w:w="1388"/>
        <w:gridCol w:w="1482"/>
        <w:gridCol w:w="1836"/>
        <w:gridCol w:w="1802"/>
        <w:gridCol w:w="1798"/>
        <w:gridCol w:w="1884"/>
        <w:gridCol w:w="1692"/>
        <w:gridCol w:w="1860"/>
        <w:gridCol w:w="184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003" w:type="dxa"/>
            <w:gridSpan w:val="6"/>
            <w:tcBorders>
              <w:top w:val="nil"/>
              <w:left w:val="nil"/>
              <w:bottom w:val="single" w:sz="4"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天津城建大学</w:t>
            </w:r>
          </w:p>
        </w:tc>
        <w:tc>
          <w:tcPr>
            <w:tcW w:w="3576"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709"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38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4203" w:type="dxa"/>
            <w:gridSpan w:val="8"/>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7320" w:type="dxa"/>
            <w:gridSpan w:val="4"/>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4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16288" w:type="dxa"/>
          <w:jc w:val="center"/>
          <w:tblLayout w:type="fixed"/>
          <w:tblCellMar>
            <w:top w:w="0" w:type="dxa"/>
            <w:left w:w="108" w:type="dxa"/>
            <w:bottom w:w="0" w:type="dxa"/>
            <w:right w:w="108" w:type="dxa"/>
          </w:tblCellMar>
          <w:tblLook w:val="0000"/>
        </w:tblPrEx>
        <w:trPr>
          <w:cantSplit/>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085"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127632292.64</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127632292.64</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9445100.30</w:t>
            </w: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118187192.34</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330210</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天津城建大学</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127632292.64</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127632292.64</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9445100.30</w:t>
            </w: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118187192.34</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10"/>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sectPr>
          <w:footerReference w:type="default" r:id="rId6"/>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1008"/>
      <w:r>
        <w:rPr>
          <w:rFonts w:ascii="黑体" w:eastAsia="黑体" w:hAnsi="黑体" w:hint="eastAsia"/>
          <w:sz w:val="30"/>
          <w:szCs w:val="30"/>
          <w:lang w:val="en-US" w:eastAsia="zh-CN"/>
        </w:rPr>
        <w:t xml:space="preserve">四、《支出决算表》</w:t>
      </w:r>
      <w:bookmarkEnd w:id="7"/>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2"/>
        <w:gridCol w:w="3228"/>
        <w:gridCol w:w="1980"/>
        <w:gridCol w:w="1968"/>
        <w:gridCol w:w="2016"/>
        <w:gridCol w:w="2010"/>
        <w:gridCol w:w="2062"/>
        <w:gridCol w:w="206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138"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天津城建大学</w:t>
            </w:r>
          </w:p>
        </w:tc>
        <w:tc>
          <w:tcPr>
            <w:tcW w:w="2016"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2010"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9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32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12"/>
          <w:jc w:val="center"/>
        </w:trPr>
        <w:tc>
          <w:tcPr>
            <w:tcW w:w="9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3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767188939.62</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563760200.63</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203428738.99</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教育支出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714042072.06</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511566200.63</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202475871.43</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20502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普通教育</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714042072.06</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511566200.63</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202475871.43</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2050205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高等教育</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714042072.06</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511566200.63</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202475871.43</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科学技术支出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27067.16</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27067.16</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20602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基础研究</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27067.16</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27067.16</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2060203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自然科学基金</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22426.58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22426.58</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2060299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其他基础研究支出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4640.58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4640.58</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33716000.00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33716000.00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行政事业单位养老支出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33716000.00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33716000.00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机关事业单位基本养老保险缴费支出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22477000.00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22477000.00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2080506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机关事业单位职业年金缴费支出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11239000.00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11239000.00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卫生健康支出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18478000.00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18478000.00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18478000.00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18478000.00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14811000.00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14811000.00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其他行政事业单位医疗支出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3667000.00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3667000.00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债务付息支出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925800.40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925800.40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23203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地方政府一般债务付息支出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261800.40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261800.40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2320301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地方政府一般债券付息支出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261800.40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261800.40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23204</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地方政府专项债务付息支出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664000.00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664000.00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2320498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其他地方自行试点项目收益专项债券付息支出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664000.00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664000.00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22229"/>
      <w:r>
        <w:rPr>
          <w:rFonts w:ascii="黑体" w:eastAsia="黑体" w:hAnsi="黑体" w:hint="eastAsia"/>
          <w:sz w:val="30"/>
          <w:szCs w:val="30"/>
          <w:lang w:val="en-US" w:eastAsia="zh-CN"/>
        </w:rPr>
        <w:t xml:space="preserve">五、《财政拨款收入支出决算总表》</w:t>
      </w:r>
      <w:bookmarkEnd w:id="8"/>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51"/>
        <w:gridCol w:w="2324"/>
        <w:gridCol w:w="2968"/>
        <w:gridCol w:w="2004"/>
        <w:gridCol w:w="1992"/>
        <w:gridCol w:w="1932"/>
        <w:gridCol w:w="201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343"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天津城建大学</w:t>
            </w:r>
          </w:p>
        </w:tc>
        <w:tc>
          <w:tcPr>
            <w:tcW w:w="2004"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992"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3949"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37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0913"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32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9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93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0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435166581.58</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664000.00</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382683714.02</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382683714.02</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27067.16</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27067.16</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33716000.00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33716000.00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18478000.00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18478000.00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925800.40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261800.40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664000.00</w:t>
            </w: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435830581.58</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435830581.58</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435166581.58</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664000.00</w:t>
            </w: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435830581.58</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435830581.58</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435166581.58</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664000.00</w:t>
            </w: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single" w:sz="4" w:space="0" w:color="000000"/>
              <w:left w:val="nil"/>
              <w:bottom w:val="nil"/>
              <w:right w:val="nil"/>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sz w:val="20"/>
                <w:szCs w:val="20"/>
                <w:u w:val="no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13290"/>
      <w:r>
        <w:rPr>
          <w:rFonts w:ascii="黑体" w:eastAsia="黑体" w:hAnsi="黑体" w:hint="eastAsia"/>
          <w:sz w:val="30"/>
          <w:szCs w:val="30"/>
          <w:lang w:val="en-US" w:eastAsia="zh-CN"/>
        </w:rPr>
        <w:t xml:space="preserve">六、《一般公共预算财政拨款支出决算表》</w:t>
      </w:r>
      <w:bookmarkEnd w:id="9"/>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66"/>
        <w:gridCol w:w="2891"/>
        <w:gridCol w:w="2446"/>
        <w:gridCol w:w="2446"/>
        <w:gridCol w:w="2446"/>
        <w:gridCol w:w="2446"/>
        <w:gridCol w:w="244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3841"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天津城建大学</w:t>
            </w:r>
          </w:p>
        </w:tc>
        <w:tc>
          <w:tcPr>
            <w:tcW w:w="2447"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支出功能分类科目</w:t>
            </w:r>
          </w:p>
        </w:tc>
        <w:tc>
          <w:tcPr>
            <w:tcW w:w="2446"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7338"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基本支</w:t>
            </w:r>
            <w:r>
              <w:rPr>
                <w:rFonts w:ascii="宋体" w:eastAsia="宋体" w:hAnsi="宋体" w:cs="宋体" w:hint="eastAsia"/>
                <w:i w:val="0"/>
                <w:iCs w:val="0"/>
                <w:color w:val="262626"/>
                <w:kern w:val="0.0"/>
                <w:sz w:val="22"/>
                <w:szCs w:val="22"/>
                <w:u w:val="none"/>
                <w:lang w:val="en-US" w:eastAsia="zh-CN"/>
              </w:rPr>
              <w:t xml:space="preserve">出</w:t>
            </w:r>
            <w:r>
              <w:rPr>
                <w:rFonts w:ascii="宋体" w:eastAsia="宋体" w:hAnsi="宋体" w:cs="宋体" w:hint="eastAsia"/>
                <w:i w:val="0"/>
                <w:iCs w:val="0"/>
                <w:color w:val="262626"/>
                <w:kern w:val="0.0"/>
                <w:sz w:val="22"/>
                <w:szCs w:val="22"/>
                <w:u w:val="none"/>
                <w:lang w:val="en-US" w:eastAsia="zh-CN"/>
              </w:rPr>
              <w:t xml:space="preserve">  </w:t>
            </w:r>
          </w:p>
        </w:tc>
        <w:tc>
          <w:tcPr>
            <w:tcW w:w="2447"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项目支出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6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科目编码</w:t>
            </w:r>
          </w:p>
        </w:tc>
        <w:tc>
          <w:tcPr>
            <w:tcW w:w="289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科目名称</w:t>
            </w:r>
          </w:p>
        </w:tc>
        <w:tc>
          <w:tcPr>
            <w:tcW w:w="2446"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小计</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人员经费</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公用经费</w:t>
            </w:r>
          </w:p>
        </w:tc>
        <w:tc>
          <w:tcPr>
            <w:tcW w:w="2447"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435166581.58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369267464.00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301125464.00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68142000.00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65899117.58</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教育支出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382683714.02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317073464.00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248931464.00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68142000.00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65610250.02</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普通教育</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382683714.02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317073464.00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248931464.00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68142000.00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65610250.02</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高等教育</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382683714.02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317073464.00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248931464.00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68142000.00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65610250.02</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科学技术支出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27067.16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27067.16</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基础研究</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27067.16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27067.16</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2060203</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自然科学基金</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22426.58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22426.58</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2060299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其他基础研究支出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4640.58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4640.58</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33716000.00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33716000.00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33716000.00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行政事业单位养老支出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33716000.00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33716000.00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33716000.00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机关事业单位基本养老保险缴费支出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22477000.00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22477000.00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22477000.00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2080506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机关事业单位职业年金缴费支出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11239000.00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11239000.00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11239000.00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卫生健康支出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18478000.00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18478000.00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18478000.00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18478000.00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18478000.00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18478000.00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14811000.00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14811000.00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14811000.00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其他行政事业单位医疗支出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3667000.00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3667000.00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3667000.00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债务付息支出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261800.40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261800.40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地方政府一般债务付息支出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261800.40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261800.40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地方政府一般债券付息支出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261800.40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261800.40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16463"/>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23"/>
        <w:gridCol w:w="2475"/>
        <w:gridCol w:w="2231"/>
        <w:gridCol w:w="754"/>
        <w:gridCol w:w="2444"/>
        <w:gridCol w:w="2231"/>
        <w:gridCol w:w="797"/>
        <w:gridCol w:w="2401"/>
        <w:gridCol w:w="223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627"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天津城建大学</w:t>
            </w:r>
          </w:p>
        </w:tc>
        <w:tc>
          <w:tcPr>
            <w:tcW w:w="223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9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633"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429"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085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6288" w:type="dxa"/>
          <w:jc w:val="center"/>
          <w:tblLayout w:type="fixed"/>
          <w:tblCellMar>
            <w:top w:w="0" w:type="dxa"/>
            <w:left w:w="108" w:type="dxa"/>
            <w:bottom w:w="0" w:type="dxa"/>
            <w:right w:w="108" w:type="dxa"/>
          </w:tblCellMar>
          <w:tblLook w:val="0000"/>
        </w:tblPrEx>
        <w:trPr>
          <w:trHeight w:hRule="exact" w:val="850"/>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2"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294638000.00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68142000.00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74000000.00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30768000.00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3500000.00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68264200.00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7000000.00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22477000.00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1100000.00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11239000.00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9950000.00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14751000.00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15000000.00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90000.00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1385800.00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70000000.00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2671000.00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1753000.00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14953200.00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6487464.00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46000.00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4467464.00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6500000.00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1974000.00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2828000.00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2000000.00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2509800.00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198"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301125464.00</w:t>
            </w:r>
          </w:p>
        </w:tc>
        <w:tc>
          <w:tcPr>
            <w:tcW w:w="8627"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68142000.00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360"/>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35"/>
        <w:gridCol w:w="2828"/>
        <w:gridCol w:w="2070"/>
        <w:gridCol w:w="2071"/>
        <w:gridCol w:w="2071"/>
        <w:gridCol w:w="2071"/>
        <w:gridCol w:w="2071"/>
        <w:gridCol w:w="207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10075"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天津城建大学</w:t>
            </w: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621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07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kern w:val="0.0"/>
                <w:sz w:val="20"/>
                <w:szCs w:val="20"/>
                <w:u w:val="none"/>
                <w:lang w:val="en-US" w:eastAsia="zh-CN"/>
              </w:rPr>
              <w:t xml:space="preserve">664000.00</w:t>
            </w: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kern w:val="0.0"/>
                <w:sz w:val="20"/>
                <w:szCs w:val="20"/>
                <w:u w:val="none"/>
                <w:lang w:val="en-US" w:eastAsia="zh-CN"/>
              </w:rPr>
              <w:t xml:space="preserve">664000.00</w:t>
            </w: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kern w:val="0.0"/>
                <w:sz w:val="20"/>
                <w:szCs w:val="20"/>
                <w:u w:val="none"/>
                <w:lang w:val="en-US" w:eastAsia="zh-CN"/>
              </w:rPr>
              <w:t xml:space="preserve">664000.00</w:t>
            </w: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债务付息支出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664000.00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664000.00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664000.00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23204</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地方政府专项债务付息支出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664000.00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664000.00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664000.00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2320498</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其他地方自行试点项目收益专项债券付息支出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664000.00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664000.00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664000.00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22450"/>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59"/>
        <w:gridCol w:w="4663"/>
        <w:gridCol w:w="1761"/>
        <w:gridCol w:w="1761"/>
        <w:gridCol w:w="1761"/>
        <w:gridCol w:w="1761"/>
        <w:gridCol w:w="1761"/>
        <w:gridCol w:w="176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24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天津城建大学</w:t>
            </w: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528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466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5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466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w:t>
            </w:r>
            <w:r>
              <w:rPr>
                <w:rFonts w:ascii="宋体" w:eastAsia="宋体" w:hAnsi="宋体" w:cs="宋体" w:hint="eastAsia"/>
                <w:b w:val="0"/>
                <w:bCs w:val="0"/>
                <w:i w:val="0"/>
                <w:iCs w:val="0"/>
                <w:color w:val="000000"/>
                <w:kern w:val="0.0"/>
                <w:sz w:val="20"/>
                <w:szCs w:val="20"/>
                <w:u w:val="none"/>
                <w:lang w:val="en-US" w:eastAsia="zh-CN"/>
              </w:rPr>
              <w:t xml:space="preserve">经营预算财政拨款收入、支</w:t>
            </w:r>
            <w:r>
              <w:rPr>
                <w:rFonts w:ascii="宋体" w:eastAsia="宋体" w:hAnsi="宋体" w:cs="宋体" w:hint="eastAsia"/>
                <w:i w:val="0"/>
                <w:iCs w:val="0"/>
                <w:color w:val="000000"/>
                <w:kern w:val="0.0"/>
                <w:sz w:val="20"/>
                <w:szCs w:val="20"/>
                <w:u w:val="none"/>
                <w:lang w:val="en-US" w:eastAsia="zh-CN"/>
              </w:rPr>
              <w:t xml:space="preserve">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天津城建大学2025年度国有资本经营预算财政拨款收入支出决算表为空表。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25280"/>
      <w:r>
        <w:rPr>
          <w:rFonts w:ascii="黑体" w:eastAsia="黑体" w:hAnsi="黑体" w:hint="eastAsia"/>
          <w:b/>
          <w:bCs/>
          <w:sz w:val="30"/>
          <w:szCs w:val="30"/>
          <w:lang w:val="en-US" w:eastAsia="zh-CN"/>
        </w:rPr>
        <w:t xml:space="preserve">十、《财政拨款“三公”经费支出决算表》</w:t>
      </w:r>
      <w:bookmarkEnd w:id="13"/>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668"/>
        <w:gridCol w:w="3018"/>
        <w:gridCol w:w="2668"/>
        <w:gridCol w:w="2668"/>
        <w:gridCol w:w="2669"/>
        <w:gridCol w:w="259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448" w:type="dxa"/>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天津城建大学</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7087" w:type="dxa"/>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40000.00</w:t>
            </w: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30000.00</w:t>
            </w: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30000.00</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10000.00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kern w:val="0.0"/>
                <w:sz w:val="20"/>
                <w:szCs w:val="20"/>
                <w:u w:val="none"/>
                <w:lang w:val="en-US" w:eastAsia="zh-CN"/>
              </w:rPr>
              <w:t xml:space="preserve">注：本表反映本年度一般公共预算和政府性基金预</w:t>
            </w:r>
            <w:r>
              <w:rPr>
                <w:rFonts w:ascii="宋体" w:eastAsia="宋体" w:hAnsi="宋体" w:cs="宋体" w:hint="eastAsia"/>
                <w:i w:val="0"/>
                <w:iCs w:val="0"/>
                <w:color w:val="000000"/>
                <w:kern w:val="0.0"/>
                <w:sz w:val="20"/>
                <w:szCs w:val="20"/>
                <w:u w:val="none"/>
                <w:lang w:val="en-US" w:eastAsia="zh-CN"/>
              </w:rPr>
              <w:t xml:space="preserve">算</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三</w:t>
            </w:r>
            <w:r>
              <w:rPr>
                <w:rFonts w:ascii="宋体" w:eastAsia="宋体" w:hAnsi="宋体" w:cs="宋体" w:hint="eastAsia"/>
                <w:i w:val="0"/>
                <w:iCs w:val="0"/>
                <w:color w:val="000000"/>
                <w:kern w:val="0.0"/>
                <w:sz w:val="20"/>
                <w:szCs w:val="20"/>
                <w:u w:val="none"/>
                <w:lang w:val="en-US" w:eastAsia="zh-CN"/>
              </w:rPr>
              <w:t xml:space="preserve">公</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经费支出决算情况。</w:t>
            </w:r>
          </w:p>
        </w:tc>
      </w:tr>
    </w:tbl>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18372"/>
      <w:r>
        <w:rPr>
          <w:rFonts w:ascii="黑体" w:eastAsia="黑体" w:hAnsi="黑体" w:hint="eastAsia"/>
          <w:b/>
          <w:bCs/>
          <w:sz w:val="30"/>
          <w:szCs w:val="30"/>
          <w:lang w:val="en-US" w:eastAsia="zh-CN"/>
        </w:rPr>
        <w:t xml:space="preserve">十一、《项目支出决算表》</w:t>
      </w:r>
      <w:bookmarkEnd w:id="14"/>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31"/>
        <w:gridCol w:w="2838"/>
        <w:gridCol w:w="2053"/>
        <w:gridCol w:w="2053"/>
        <w:gridCol w:w="2053"/>
        <w:gridCol w:w="2053"/>
        <w:gridCol w:w="2053"/>
        <w:gridCol w:w="2054"/>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jc w:val="center"/>
        </w:trPr>
        <w:tc>
          <w:tcPr>
            <w:tcW w:w="8075"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天津城建大学</w:t>
            </w: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107"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231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83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969"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203428738.99</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65899117.58</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664000.00</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7749250.12</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129116371.29</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教育支出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202475871.43</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65610250.02</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7749250.12</w:t>
            </w: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129116371.29</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普通教育</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202475871.43</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65610250.02</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7749250.12</w:t>
            </w: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129116371.29</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高等教育</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202475871.43</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65610250.02</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7749250.12</w:t>
            </w: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129116371.29</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天津市高校教师党支部书记“赋能拔尖”培育计划</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天津市高校落实《科教兴市人才强市行动方案》考核引导资金</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5200000.00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5200000.00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天津市外国留学生政府奖学金</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611100.00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611100.00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学生资助补助经费-中央专款</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13728500.00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13728500.00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学生资助政策体系</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24481050.02</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24481050.02</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学校思想政治工作补助项目</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505000.00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505000.00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巡察教育培训基地建设</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支持地方高校改革发展资金-2025年中央专款</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13153000.00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13153000.00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各类学校校舍维修（2025年）</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3501600.00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3501600.00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天津市高校落实《科教兴市人才强市行动方案》考核引导资金（2025年）</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4300000.00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4300000.00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2025年教育收费项目（天津城建大学）</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7749250.12</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7749250.12</w:t>
            </w: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房屋构建及大型修缮</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1601731.79</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1601731.79</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横向科研及配套</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109794238.12</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109794238.12</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纵向科研</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16920182.55</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16920182.55</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其他专项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800218.83</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800218.83</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科学技术支出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27067.16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27067.16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基础研究</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27067.16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27067.16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2060203</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自然科学基金</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22426.58</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22426.58</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2060203</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2021年度天津市科技计划项目结转资金</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22426.58</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22426.58</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2060299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其他基础研究支出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4640.58</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4640.58</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2060299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2022年度天津市科技计划项目结转资金项目</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4640.58</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4640.58</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债务付息支出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925800.40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261800.40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664000.00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地方政府一般债务付息支出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261800.40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261800.40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地方政府一般债券付息支出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261800.40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261800.40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2025年一般债券利息</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261800.40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261800.40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地方政府专项债务付息支出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664000.00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664000.00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2320498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其他地方自行试点项目收益专项债券付息支出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664000.00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664000.00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2320498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天津城建大学改扩建实训中心二期项目-专项债券付息</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664000.00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664000.00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注：本表反映本年度项目支出决算情况，其中支出数包括当年预算资金和以前年度结转资金安排的合计实际支出。</w:t>
            </w:r>
          </w:p>
        </w:tc>
      </w:tr>
    </w:tbl>
    <w:p>
      <w:pPr>
        <w:sectPr>
          <w:footerReference w:type="default" r:id="rId7"/>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13918"/>
      <w:r>
        <w:rPr>
          <w:rFonts w:ascii="方正小标宋简体" w:eastAsia="方正小标宋简体" w:hAnsi="方正小标宋简体" w:cs="方正小标宋简体" w:hint="eastAsia"/>
          <w:b w:val="0"/>
          <w:bCs w:val="0"/>
          <w:lang w:val="en-US" w:eastAsia="zh-CN"/>
        </w:rPr>
        <w:t xml:space="preserve">第三部分  2025年度单位决算情况说明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16656"/>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天津城建大学</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943,854,913.45</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增加114,139,050.64元，增长13.76%</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科研收支大幅增加</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一般公共预算财政拨款收入435,166,581.58元、政府性基金预算财政拨款收入664,000.00元、财政专户管理资金收入169,464,689.65元、事业收入183,467,982.95元、其他收入27,459,366.63元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教育支出714,042,072.06元、科学技术支出27,067.16元、社会保障和就业支出33,716,000.00元、卫生健康支出18,478,000.00元、债务付息支出925,800.40元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7" w:name="_Toc20266"/>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天津城建大学</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816,222,620.81</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增加72,843,969.86元，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科研事业收入大幅增加</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一般公共预算财政拨款收入435,166,581.58元，占53.31%；政府性基金预算财政拨款收入664,000.00元，占0.08%；财政专户管理资金收入169,464,689.65元，占20.76%；事业收入183,467,982.95元，占22.48%；其他收入27,459,366.63元，占3.37%</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17730"/>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天津城建大学</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767,188,939.62</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增加60,483,499.94元，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人员支出和科研项目支出大幅增加</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基本支出563,760,200.63元，占73.48%；项目支出203,428,738.99元，占26.52%</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16631"/>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天津城建大学</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435,830,581.58</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减少1,383,408.64元，下降0.32%，</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财政专项拨款减少</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一般公共预算财政拨款435,166,581.58元、政府性基金预算财政拨款664,000.00元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教育支出382,683,714.02元、科学技术支出27,067.16元、社会保障和就业支出33,716,000.00元、卫生健康支出18,478,000.00元、债务付息支出925,800.40元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13902"/>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天津城建大学2025年度一般公共预算财政拨款支出合计435,166,581.58元，占本年支出合计的56.72%。与2024年度相比，一般公共预算财政拨款支出</w:t>
      </w:r>
      <w:r>
        <w:rPr>
          <w:rFonts w:eastAsia="仿宋_GB2312" w:hint="eastAsia"/>
          <w:sz w:val="30"/>
          <w:szCs w:val="30"/>
          <w:highlight w:val="none"/>
          <w:lang w:val="en-US" w:eastAsia="zh-CN"/>
        </w:rPr>
        <w:t xml:space="preserve">减少1,383,408.64元</w:t>
      </w:r>
      <w:r>
        <w:rPr>
          <w:rFonts w:eastAsia="仿宋_GB2312" w:hint="eastAsia"/>
          <w:sz w:val="30"/>
          <w:szCs w:val="30"/>
          <w:highlight w:val="none"/>
          <w:lang w:val="en-US" w:eastAsia="zh-CN"/>
        </w:rPr>
        <w:t xml:space="preserve">，下降0.32%</w:t>
      </w:r>
      <w:r>
        <w:rPr>
          <w:rFonts w:eastAsia="仿宋_GB2312" w:hint="eastAsia"/>
          <w:sz w:val="30"/>
          <w:szCs w:val="30"/>
          <w:highlight w:val="none"/>
          <w:lang w:val="en-US" w:eastAsia="zh-CN"/>
        </w:rPr>
        <w:t xml:space="preserve">，主要原因是财政专项拨款减少。</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2025年度一般公共预算财政拨款支出435,166,581.58元，主要用于以下方面：</w:t>
      </w:r>
      <w:r>
        <w:rPr>
          <w:rFonts w:eastAsia="仿宋_GB2312" w:hint="eastAsia"/>
          <w:sz w:val="30"/>
          <w:szCs w:val="30"/>
          <w:highlight w:val="none"/>
        </w:rPr>
        <w:t xml:space="preserve">教育支出（类）支出382,683,714.02元，占87.94%，科学技术支出（类）支出27,067.16元，占0.01%，社会保障和就业支出（类）支出33,716,000.00元，占7.75%，卫生健康支出（类）支出18,478,000.00元，占4.25%，债务付息支出（类）支出261,800.40元，占0.05%</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2025年度一般公共预算财政拨款支出年初预算为431,870,867.16元，支出决算为435,166,581.58元</w:t>
      </w:r>
      <w:r>
        <w:rPr>
          <w:rFonts w:eastAsia="仿宋_GB2312" w:hint="eastAsia"/>
          <w:sz w:val="30"/>
          <w:szCs w:val="30"/>
          <w:highlight w:val="none"/>
          <w:lang w:val="en-US" w:eastAsia="zh-CN"/>
        </w:rPr>
        <w:t xml:space="preserve">，完成年初预算的100.76%</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1.教育支出（类）普通教育（款）高等教育（项）年初预算为379,387,900.00元，支出决算为382,683,714.02元，完成年初预算的100.87%，决算数大于年初预算数的主要原因是：追加各类校舍维修等项目经费。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2.科学技术支出（类）基础研究（款）自然科学基金（项）年初预算为22,426.58元，支出决算为22,426.58元，完成年初预算的100.00%，决算数与年初预算数持平的主要原因是：严格按照预算执行。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3.科学技术支出（类）基础研究（款）其他基础研究支出（项）年初预算为4,640.58元，支出决算为4,640.58元，完成年初预算的100.00%，决算数与年初预算数持平的主要原因是：严格按照预算执行。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4.社会保障和就业支出（类）行政事业单位养老支出（款）机关事业单位基本养老保险缴费支出（项）年初预算为22,477,000.00元，支出决算为22,477,000.00元，完成年初预算的100.00%，决算数与年初预算数持平的主要原因是：严格按照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5.社会保障和就业支出（类）行政事业单位养老支出（款）机关事业单位职业年金缴费支出（项）年初预算为11,239,000.00元，支出决算为11,239,000.00元，完成年初预算的100.00%，决算数与年初预算数持平的主要原因是：严格按照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6.卫生健康支出（类）行政事业单位医疗（款）事业单位医疗（项）年初预算为14,811,000.00元，支出决算为14,811,000.00元，完成年初预算的100.00%，决算数与年初预算数持平的主要原因是：严格按照预算执行。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7.卫生健康支出（类）行政事业单位医疗（款）其他行政事业单位医疗支出（项）年初预算为3,667,000.00元，支出决算为3,667,000.00元，完成年初预算的100.00%，决算数与年初预算数持平的主要原因是：严格按照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8.债务付息支出（类）地方政府一般债务付息支出（款）地方政府一般债券付息支出（项）年初预算为261,900.00元，支出决算为261,800.40元，完成年初预算的99.96%，决算数小于年初预算数的主要原因是：基本持平，严格按照预算执行。</w:t>
      </w:r>
    </w:p>
    <w:p>
      <w:pPr>
        <w:pStyle w:val="标题2"/>
        <w:spacing w:before="0" w:after="0" w:line="600" w:lineRule="exact"/>
        <w:ind w:firstLine="600" w:firstLineChars="200"/>
        <w:rPr>
          <w:rFonts w:ascii="黑体" w:eastAsia="黑体" w:hAnsi="黑体"/>
          <w:b w:val="0"/>
          <w:sz w:val="30"/>
          <w:szCs w:val="30"/>
          <w:highlight w:val="none"/>
        </w:rPr>
      </w:pPr>
      <w:bookmarkStart w:id="21" w:name="_Toc21908"/>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天津城建大学2025年度一般公共预算财政拨款基本支出合计369,267,464.00元，与2024年度相比</w:t>
      </w:r>
      <w:r>
        <w:rPr>
          <w:rFonts w:eastAsia="仿宋_GB2312" w:hint="eastAsia"/>
          <w:sz w:val="30"/>
          <w:szCs w:val="30"/>
          <w:highlight w:val="none"/>
          <w:lang w:val="en-US" w:eastAsia="zh-CN"/>
        </w:rPr>
        <w:t xml:space="preserve">增加9,712,064.00元，</w:t>
      </w:r>
      <w:r>
        <w:rPr>
          <w:rFonts w:eastAsia="仿宋_GB2312" w:hint="eastAsia"/>
          <w:sz w:val="30"/>
          <w:szCs w:val="30"/>
          <w:highlight w:val="none"/>
          <w:lang w:val="en-US" w:eastAsia="zh-CN"/>
        </w:rPr>
        <w:t xml:space="preserve">主要原因是人员经费增加。</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人员经费301,125,464.00元，主要包括</w:t>
      </w:r>
      <w:r>
        <w:rPr>
          <w:rFonts w:eastAsia="仿宋_GB2312" w:hint="eastAsia"/>
          <w:sz w:val="30"/>
          <w:szCs w:val="30"/>
          <w:highlight w:val="none"/>
          <w:lang w:val="en-US" w:eastAsia="zh-CN"/>
        </w:rPr>
        <w:t xml:space="preserve">基本工资、津贴补贴、绩效工资、机关事业单位基本养老保险缴费、职业年金缴费、职工基本医疗保险缴费、其他社会保障缴费、住房公积金、医疗费、离休费、退休费、医疗费补助</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公用经费68,142,000.00元，主要包括</w:t>
      </w:r>
      <w:r>
        <w:rPr>
          <w:rFonts w:eastAsia="仿宋_GB2312" w:hint="eastAsia"/>
          <w:sz w:val="30"/>
          <w:szCs w:val="30"/>
          <w:highlight w:val="none"/>
          <w:lang w:val="en-US" w:eastAsia="zh-CN"/>
        </w:rPr>
        <w:t xml:space="preserve">水费、电费、邮电费、取暖费、物业管理费、差旅费、维修(护)费、租赁费、公务接待费、委托业务费、工会经费、福利费、公务用车运行维护费、其他商品和服务支出</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4044"/>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wordWrap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highlight w:val="none"/>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天津城建大学2025年度政府性基金预算财政拨款年初结转和结余0.00元，收入664,000.00元，支出664,000.00元，年末结转和结余0.00元。与2024年度相比，政府性基金预算财政拨款支出</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主要原因是专项债券利息支出无变化。</w:t>
      </w:r>
    </w:p>
    <w:p>
      <w:pPr>
        <w:divId w:val="0"/>
        <w:wordWrap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highlight w:val="none"/>
          <w:lang w:val="en-US" w:eastAsia="zh-CN"/>
        </w:rPr>
        <w:t xml:space="preserve">（二）支出结构情况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2025年度政府性基金预算财政拨款支出664,000.00元，主要用于以下方面：</w:t>
      </w:r>
      <w:r>
        <w:rPr>
          <w:rFonts w:eastAsia="仿宋_GB2312" w:hint="eastAsia"/>
          <w:sz w:val="28"/>
          <w:szCs w:val="28"/>
          <w:highlight w:val="none"/>
        </w:rPr>
        <w:t xml:space="preserve">债务付息支出（类）支出664,000.00元，占100.00%</w:t>
      </w:r>
      <w:r>
        <w:rPr>
          <w:rFonts w:eastAsia="仿宋_GB2312" w:hint="eastAsia"/>
          <w:sz w:val="30"/>
          <w:szCs w:val="30"/>
          <w:highlight w:val="none"/>
          <w:lang w:val="en-US" w:eastAsia="zh-CN"/>
        </w:rPr>
        <w:t xml:space="preserve">。</w:t>
      </w:r>
    </w:p>
    <w:p>
      <w:pPr>
        <w:divId w:val="0"/>
        <w:wordWrap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highlight w:val="none"/>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2025年度政府性基金预算财政拨款支出年初预算为664,000.00元，支出决算为664,000.00元</w:t>
      </w:r>
      <w:r>
        <w:rPr>
          <w:rFonts w:eastAsia="仿宋_GB2312" w:hint="eastAsia"/>
          <w:sz w:val="30"/>
          <w:szCs w:val="30"/>
          <w:highlight w:val="none"/>
          <w:lang w:val="en-US" w:eastAsia="zh-CN"/>
        </w:rPr>
        <w:t xml:space="preserve">，完成年初预算的100.00%</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债务付息支出（类）地方政府专项债务付息支出（款）其他地方自行试点项目收益专项债券付息支出（项）年初预算为664,000.00元，支出决算为664,000.00元，完成年初预算的100.00%，决算数与年初预算数持平的主要原因是：严格按照预算执行。</w:t>
      </w:r>
    </w:p>
    <w:p>
      <w:pPr>
        <w:pStyle w:val="标题2"/>
        <w:spacing w:before="0" w:after="0" w:line="600" w:lineRule="exact"/>
        <w:ind w:firstLine="600" w:firstLineChars="200"/>
        <w:rPr>
          <w:rFonts w:eastAsia="黑体" w:hint="eastAsia"/>
          <w:b w:val="0"/>
          <w:sz w:val="30"/>
          <w:szCs w:val="30"/>
          <w:highlight w:val="none"/>
        </w:rPr>
      </w:pPr>
      <w:bookmarkStart w:id="23" w:name="_Toc5943"/>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天津城建大学2025年度无国有资本经营预算财政拨款收入、支出和结转结余。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9262"/>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40,000.00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40,000.00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，完成预算的100.00%</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决算数与预算数持平的主要原因是严格按照预算执行；</w:t>
      </w:r>
      <w:r>
        <w:rPr>
          <w:rFonts w:eastAsia="仿宋_GB2312" w:hint="eastAsia"/>
          <w:sz w:val="30"/>
          <w:szCs w:val="30"/>
          <w:highlight w:val="none"/>
          <w:lang w:val="en-US" w:eastAsia="zh-CN"/>
        </w:rPr>
        <w:t xml:space="preserve">决算数较上年持平的主要原因是严格控制“三公”经费支出。</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决算数与预算数持平的主要原因是严格按照预算执行；</w:t>
      </w:r>
      <w:r>
        <w:rPr>
          <w:rFonts w:eastAsia="仿宋_GB2312" w:hint="eastAsia"/>
          <w:sz w:val="30"/>
          <w:szCs w:val="30"/>
          <w:highlight w:val="none"/>
          <w:lang w:val="en-US" w:eastAsia="zh-CN"/>
        </w:rPr>
        <w:t xml:space="preserve">决算数较上年持平的主要原因是本年度与上年度均未用财政拨款经费列支因公出国（境）费。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30,000.00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30,000.00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，完成预算的100.00%</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决算数与预算数持平的主要原因是严格按照预算执行；</w:t>
      </w:r>
      <w:r>
        <w:rPr>
          <w:rFonts w:eastAsia="仿宋_GB2312" w:hint="eastAsia"/>
          <w:sz w:val="30"/>
          <w:szCs w:val="30"/>
          <w:highlight w:val="none"/>
          <w:lang w:val="en-US" w:eastAsia="zh-CN"/>
        </w:rPr>
        <w:t xml:space="preserve">决算数较上年持平的主要原因是严格控制公务用车相关支出。</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30,000.00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30,000.00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，完成预算的100.00%</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决算数与预算数持平的主要原因是严格按照预算执行；</w:t>
      </w:r>
      <w:r>
        <w:rPr>
          <w:rFonts w:eastAsia="仿宋_GB2312" w:hint="eastAsia"/>
          <w:sz w:val="30"/>
          <w:szCs w:val="30"/>
          <w:highlight w:val="none"/>
          <w:lang w:val="en-US" w:eastAsia="zh-CN"/>
        </w:rPr>
        <w:t xml:space="preserve">决算数较上年持平的主要原因是严格控制公务用车运行维护费支出。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7</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决算数与预算数持平的主要原因是严格按照预算执行；</w:t>
      </w:r>
      <w:r>
        <w:rPr>
          <w:rFonts w:eastAsia="仿宋_GB2312" w:hint="eastAsia"/>
          <w:sz w:val="30"/>
          <w:szCs w:val="30"/>
          <w:highlight w:val="none"/>
          <w:lang w:val="en-US" w:eastAsia="zh-CN"/>
        </w:rPr>
        <w:t xml:space="preserve">决算数较上年持平的主要原因是本年度与上年度均未用财政拨款经费列支公务用车购置费。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10,000.00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10,000.00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，完成预算的100.00%</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决算数与预算数持平的主要原因是严格按照预算执行；</w:t>
      </w:r>
      <w:r>
        <w:rPr>
          <w:rFonts w:eastAsia="仿宋_GB2312" w:hint="eastAsia"/>
          <w:sz w:val="30"/>
          <w:szCs w:val="30"/>
          <w:highlight w:val="none"/>
          <w:lang w:val="en-US" w:eastAsia="zh-CN"/>
        </w:rPr>
        <w:t xml:space="preserve">决算数较上年持平的主要原因是严格控制公务接待费支出。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6</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25</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10</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850"/>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天津城建大学2025年度无机关运行经费。</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17600"/>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城建大学2025年政府采购支出总额42,602,716.85元，其中：政府采购货物支出22,283,291.10元、政府采购工程支出4,707,815.00元、政府采购服务支出15,611,610.75元。授予中小企业合同金额42,416,716.85元，占政府采购支出总额的99.56%，其中：授予小微企业合同金额40,842,816.85元，占政府采购支出总额的95.87%；货物采购授予中小企业合同金额占货物支出金额的99.17%，工程采购授予中小企业合同金额占工程支出金额的100.00%，服务采购授予中小企业合同金额占服务支出金额的100.00%。</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20762"/>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截至2025年12月31日，天津城建大学共有车辆15辆</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主要负责人用车2辆、机要通信用车1辆、应急保障用车3辆、离退休干部服务用车1辆、其他用车8辆</w:t>
      </w:r>
      <w:r>
        <w:rPr>
          <w:rFonts w:eastAsia="仿宋_GB2312" w:hint="eastAsia"/>
          <w:sz w:val="30"/>
          <w:szCs w:val="30"/>
          <w:highlight w:val="none"/>
          <w:lang w:val="en-US" w:eastAsia="zh-CN"/>
        </w:rPr>
        <w:t xml:space="preserve">，其他用车主要包括食堂用车和工程作业用车</w:t>
      </w:r>
      <w:r>
        <w:rPr>
          <w:rFonts w:eastAsia="仿宋_GB2312" w:hint="eastAsia"/>
          <w:sz w:val="30"/>
          <w:szCs w:val="30"/>
          <w:highlight w:val="none"/>
          <w:lang w:val="en-US" w:eastAsia="zh-CN"/>
        </w:rPr>
        <w:t xml:space="preserve">。单价100万元以上的设备38台（套）。</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12945"/>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根据预算绩效管理要求，天津市天津城建大学已对13个2025年度市级项目开展绩效自评，涉及金额298,672,667.16元，自评结果已随部门决算一并公开。</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20809"/>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天津市天津城建大学不属于乡、镇、街级单位，不涉及公开2025年度教育、医疗卫生、社会保障和就业、住房保障、涉农补贴等民生支出情况。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26550"/>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footerReference w:type="default" r:id="rId8"/>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79E44511-33D6-4A94-8C74-C82D05FF8621}"/>
    <w:embedBold r:id="rId2" w:subsetted="1" w:fontKey="{ABA432B5-ABCE-4787-9226-FAAC70D77D63}"/>
  </w:font>
  <w:font w:name="Cambria">
    <w:panose1 w:val="02040503050406030204"/>
    <w:charset w:val="00"/>
    <w:family w:val="roman"/>
    <w:pitch w:val="default"/>
    <w:sig w:usb0="E00006FF" w:usb1="420024FF" w:usb2="02000000" w:usb3="00000000" w:csb0="2000019F" w:csb1="00000000"/>
    <w:embedRegular r:id="rId3" w:fontKey="{A80F4650-5159-4005-8D3E-B5C05C58817E}"/>
  </w:font>
  <w:font w:name="Calibri">
    <w:panose1 w:val="020F0502020204030204"/>
    <w:charset w:val="00"/>
    <w:family w:val="swiss"/>
    <w:pitch w:val="default"/>
    <w:sig w:usb0="E4002EFF" w:usb1="C200247B" w:usb2="00000009" w:usb3="00000000" w:csb0="200001FF" w:csb1="00000000"/>
    <w:embedRegular r:id="rId4" w:fontKey="{B3CA550C-EC35-4ADF-A576-AA0540BBC336}"/>
  </w:font>
  <w:font w:name="黑体">
    <w:panose1 w:val="02010609060101010101"/>
    <w:charset w:val="FFFFFF86"/>
    <w:family w:val="auto"/>
    <w:pitch w:val="default"/>
    <w:sig w:usb0="800002BF" w:usb1="38CF7CFA" w:usb2="00000016" w:usb3="00000000" w:csb0="00040001" w:csb1="00000000"/>
    <w:embedRegular r:id="rId5" w:subsetted="1" w:fontKey="{199C913F-1B1F-4D29-9926-4A0EECA8AB08}"/>
    <w:embedBold r:id="rId6" w:subsetted="1" w:fontKey="{D583B447-48B1-472F-B4AD-7AB95193059D}"/>
  </w:font>
  <w:font w:name="方正小标宋简体">
    <w:altName w:val="黑体"/>
    <w:panose1 w:val="02000000000000000000"/>
    <w:charset w:val="FFFFFF86"/>
    <w:family w:val="auto"/>
    <w:pitch w:val="default"/>
    <w:sig w:usb0="00000001" w:usb1="08000000" w:usb2="00000000" w:usb3="00000000" w:csb0="00040000" w:csb1="00000000"/>
    <w:embedRegular r:id="rId7" w:fontKey="{69BEAB24-723D-4C6E-9B8C-D4708C666252}"/>
    <w:embedBold r:id="rId8" w:fontKey="{D966DBFF-ADA7-4BC0-B49C-7BF68D97037D}"/>
  </w:font>
  <w:font w:name="仿宋">
    <w:panose1 w:val="02010609060101010101"/>
    <w:charset w:val="FFFFFF86"/>
    <w:family w:val="auto"/>
    <w:pitch w:val="default"/>
    <w:sig w:usb0="800002BF" w:usb1="38CF7CFA" w:usb2="00000016" w:usb3="00000000" w:csb0="00040001" w:csb1="00000000"/>
    <w:embedRegular r:id="rId9" w:subsetted="1" w:fontKey="{EA9C5BF8-1A77-4896-A3BB-292CE41B6385}"/>
  </w:font>
  <w:font w:name="方正仿宋_GB2312">
    <w:altName w:val="仿宋"/>
    <w:panose1 w:val="02000000000000000000"/>
    <w:charset w:val="FFFFFF86"/>
    <w:family w:val="auto"/>
    <w:pitch w:val="default"/>
    <w:sig w:usb0="A00002BF" w:usb1="184F6CFA" w:usb2="00000012" w:usb3="00000000" w:csb0="00040001" w:csb1="00000000"/>
  </w:font>
  <w:font w:name="仿宋_GB2312">
    <w:altName w:val="仿宋"/>
    <w:panose1 w:val="02010609030101010101"/>
    <w:charset w:val="FFFFFF86"/>
    <w:family w:val="auto"/>
    <w:pitch w:val="default"/>
    <w:sig w:usb0="00000001" w:usb1="080E0000" w:usb2="00000000" w:usb3="00000000" w:csb0="00040000" w:csb1="00000000"/>
    <w:embedRegular r:id="rId10" w:fontKey="{3DA5B7F5-6DB7-4DE1-AC76-B6DFEB158EB7}"/>
  </w:font>
  <w:font w:name="方正楷体_GB2312">
    <w:altName w:val="宋体"/>
    <w:panose1 w:val="02000000000000000000"/>
    <w:charset w:val="FFFFFF86"/>
    <w:family w:val="auto"/>
    <w:pitch w:val="default"/>
    <w:sig w:usb0="A00002BF" w:usb1="184F6CFA" w:usb2="00000012" w:usb3="00000000" w:csb0="00040001" w:csb1="00000000"/>
    <w:embedRegular r:id="rId11" w:fontKey="{ACFF5570-1BA8-4298-ACE2-FDAB57B6E3A8}"/>
  </w:font>
  <w:font w:name="等线">
    <w:panose1 w:val="02010600030101010101"/>
    <w:charset w:val="FFFFFF86"/>
    <w:family w:val="auto"/>
    <w:pitch w:val="default"/>
    <w:sig w:usb0="A00002BF" w:usb1="38CF7CFA" w:usb2="00000016" w:usb3="00000000" w:csb0="0004000F" w:csb1="00000000"/>
  </w:font>
  <w:font w:name="楷体">
    <w:panose1 w:val="02010609060101010101"/>
    <w:charset w:val="FFFFFF86"/>
    <w:family w:val="decorative"/>
    <w:pitch w:val="default"/>
    <w:sig w:usb0="800002BF" w:usb1="38CF7CFA" w:usb2="00000016" w:usb3="00000000" w:csb0="00040001" w:csb1="00000000"/>
    <w:embedRegular r:id="rId12" w:subsetted="1" w:fontKey="{301855FD-8B2C-47FF-9ECB-80BFEB45D2AD}"/>
    <w:embedBold r:id="rId13" w:subsetted="1" w:fontKey="{5919FEC9-40C6-46D2-8138-B42F1B1AF96F}"/>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z-index:251658240"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z-index:251659264"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6</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z-index:251660288"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21</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7" o:spid="_x0000_s2052" type="#_x0000_t202" style="width:2in;height:2in;margin-top:0;margin-left:0;mso-position-horizontal:center;mso-position-horizontal-relative:margin;mso-wrap-style:none;position:absolute;z-index:251661312"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30</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13" Type="http://schemas.openxmlformats.org/officeDocument/2006/relationships/font" Target="fonts/font12.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33</Pages>
  <Words>11720</Words>
  <Characters>62073</Characters>
  <Application>WPS Office_12.1.0.28043_F1E327BC-269C-435d-A152-05C5408002CA</Application>
  <DocSecurity>0</DocSecurity>
  <Lines>60</Lines>
  <Paragraphs>16</Paragraphs>
  <ScaleCrop>false</ScaleCrop>
  <Company>Microsoft</Company>
  <LinksUpToDate>false</LinksUpToDate>
  <CharactersWithSpaces>63178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2026-08-26T09:19:43Z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